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5DB" w:rsidRDefault="008921F2">
      <w:pPr>
        <w:keepNext/>
        <w:spacing w:before="60" w:after="200" w:line="276" w:lineRule="auto"/>
        <w:jc w:val="center"/>
      </w:pPr>
      <w:r>
        <w:rPr>
          <w:rFonts w:ascii="Calibri" w:hAnsi="Calibri" w:cs="Calibri"/>
          <w:b/>
          <w:bCs/>
          <w:sz w:val="28"/>
          <w:szCs w:val="28"/>
        </w:rPr>
        <w:t>TERMO DE AVISO DE DISPENSA DE LICITAÇÃO Nº 03/2026</w:t>
      </w:r>
    </w:p>
    <w:p w:rsidR="00D005DB" w:rsidRDefault="008921F2">
      <w:pPr>
        <w:spacing w:after="240" w:line="276" w:lineRule="auto"/>
        <w:jc w:val="center"/>
      </w:pPr>
      <w:r>
        <w:rPr>
          <w:rFonts w:ascii="Calibri" w:hAnsi="Calibri" w:cs="Calibri"/>
          <w:b/>
          <w:bCs/>
          <w:sz w:val="22"/>
          <w:szCs w:val="22"/>
        </w:rPr>
        <w:t>Processo Administrativo nº 03/2026</w:t>
      </w:r>
      <w:r>
        <w:rPr>
          <w:rFonts w:ascii="Calibri" w:hAnsi="Calibri" w:cs="Calibri"/>
          <w:sz w:val="22"/>
          <w:szCs w:val="22"/>
        </w:rPr>
        <w:br/>
        <w:t>(art. 75, inciso II e § 3º, da Lei nº 14.133/2021)</w:t>
      </w:r>
    </w:p>
    <w:p w:rsidR="00D005DB" w:rsidRDefault="008921F2">
      <w:pPr>
        <w:spacing w:after="120" w:line="276" w:lineRule="auto"/>
        <w:ind w:firstLine="1134"/>
        <w:jc w:val="both"/>
      </w:pPr>
      <w:r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b/>
          <w:bCs/>
          <w:sz w:val="22"/>
          <w:szCs w:val="22"/>
        </w:rPr>
        <w:t>CÂMARA MUNICIPAL DE PORTO FIRME/MG</w:t>
      </w:r>
      <w:r>
        <w:rPr>
          <w:rFonts w:ascii="Calibri" w:hAnsi="Calibri" w:cs="Calibri"/>
          <w:sz w:val="22"/>
          <w:szCs w:val="22"/>
        </w:rPr>
        <w:t xml:space="preserve">, por intermédio de sua Agente de Contratação, designada pela Portaria nº 012/2026, torna público, para conhecimento dos interessados, que realizará </w:t>
      </w:r>
      <w:r>
        <w:rPr>
          <w:rFonts w:ascii="Calibri" w:hAnsi="Calibri" w:cs="Calibri"/>
          <w:b/>
          <w:bCs/>
          <w:sz w:val="22"/>
          <w:szCs w:val="22"/>
        </w:rPr>
        <w:t>contratação direta por dispensa de licitação em razão do valor</w:t>
      </w:r>
      <w:r>
        <w:rPr>
          <w:rFonts w:ascii="Calibri" w:hAnsi="Calibri" w:cs="Calibri"/>
          <w:sz w:val="22"/>
          <w:szCs w:val="22"/>
        </w:rPr>
        <w:t>, com fundamento no art. 75, inciso II, da Le</w:t>
      </w:r>
      <w:r>
        <w:rPr>
          <w:rFonts w:ascii="Calibri" w:hAnsi="Calibri" w:cs="Calibri"/>
          <w:sz w:val="22"/>
          <w:szCs w:val="22"/>
        </w:rPr>
        <w:t xml:space="preserve">i nº 14.133/2021, e manifesta seu interesse em obter </w:t>
      </w:r>
      <w:r>
        <w:rPr>
          <w:rFonts w:ascii="Calibri" w:hAnsi="Calibri" w:cs="Calibri"/>
          <w:b/>
          <w:bCs/>
          <w:sz w:val="22"/>
          <w:szCs w:val="22"/>
        </w:rPr>
        <w:t>propostas adicionais</w:t>
      </w:r>
      <w:r>
        <w:rPr>
          <w:rFonts w:ascii="Calibri" w:hAnsi="Calibri" w:cs="Calibri"/>
          <w:sz w:val="22"/>
          <w:szCs w:val="22"/>
        </w:rPr>
        <w:t xml:space="preserve"> de eventuais interessados, nos termos do § 3º do mesmo artigo, observadas as condições abaixo.</w:t>
      </w:r>
    </w:p>
    <w:p w:rsidR="00D005DB" w:rsidRDefault="008921F2">
      <w:pPr>
        <w:keepNext/>
        <w:spacing w:before="160" w:after="8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1. DO OBJETO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1.1. AQUISIÇÃO DE MATERIAIS PERMANENTES (EQUIPAMENTOS ELETROELETRÔNICOS, D</w:t>
      </w:r>
      <w:r>
        <w:rPr>
          <w:rFonts w:ascii="Calibri" w:hAnsi="Calibri" w:cs="Calibri"/>
          <w:sz w:val="22"/>
          <w:szCs w:val="22"/>
        </w:rPr>
        <w:t>E CLIMATIZAÇÃO E DE INFORMÁTICA) PARA A CÂMARA MUNICIPAL DE PORTO FIRME/MG, conforme especificações, quantidades e valores de referência constantes do item 4 deste Aviso e do Termo de Referência.</w:t>
      </w:r>
    </w:p>
    <w:p w:rsidR="00D005DB" w:rsidRDefault="008921F2">
      <w:pPr>
        <w:keepNext/>
        <w:spacing w:before="160" w:after="8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2. DA FUNDAMENTAÇÃO LEGAL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2.1. Art. 75, inciso II e § 3º, da</w:t>
      </w:r>
      <w:r>
        <w:rPr>
          <w:rFonts w:ascii="Calibri" w:hAnsi="Calibri" w:cs="Calibri"/>
          <w:sz w:val="22"/>
          <w:szCs w:val="22"/>
        </w:rPr>
        <w:t xml:space="preserve"> Lei nº 14.133/2021, cujo limite foi atualizado para R$ 65.492,11 (sessenta e cinco mil quatrocentos e noventa e dois reais e onze centavos) pelo Decreto Federal nº 12.807/2025, a partir de 1º de janeiro de 2026.</w:t>
      </w:r>
    </w:p>
    <w:p w:rsidR="00D005DB" w:rsidRDefault="008921F2">
      <w:pPr>
        <w:keepNext/>
        <w:spacing w:before="160" w:after="8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3. DO CRITÉRIO DE JULGAMENTO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3.1. </w:t>
      </w:r>
      <w:r>
        <w:rPr>
          <w:rFonts w:ascii="Calibri" w:hAnsi="Calibri" w:cs="Calibri"/>
          <w:b/>
          <w:bCs/>
          <w:sz w:val="22"/>
          <w:szCs w:val="22"/>
        </w:rPr>
        <w:t>Menor pre</w:t>
      </w:r>
      <w:r>
        <w:rPr>
          <w:rFonts w:ascii="Calibri" w:hAnsi="Calibri" w:cs="Calibri"/>
          <w:b/>
          <w:bCs/>
          <w:sz w:val="22"/>
          <w:szCs w:val="22"/>
        </w:rPr>
        <w:t>ço por item</w:t>
      </w:r>
      <w:r>
        <w:rPr>
          <w:rFonts w:ascii="Calibri" w:hAnsi="Calibri" w:cs="Calibri"/>
          <w:sz w:val="22"/>
          <w:szCs w:val="22"/>
        </w:rPr>
        <w:t>, admitida a contratação de fornecedores distintos para itens diversos.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3.2. O valor unitário de referência de cada item constitui o </w:t>
      </w:r>
      <w:r>
        <w:rPr>
          <w:rFonts w:ascii="Calibri" w:hAnsi="Calibri" w:cs="Calibri"/>
          <w:b/>
          <w:bCs/>
          <w:sz w:val="22"/>
          <w:szCs w:val="22"/>
        </w:rPr>
        <w:t>preço máximo aceitável</w:t>
      </w:r>
      <w:r>
        <w:rPr>
          <w:rFonts w:ascii="Calibri" w:hAnsi="Calibri" w:cs="Calibri"/>
          <w:sz w:val="22"/>
          <w:szCs w:val="22"/>
        </w:rPr>
        <w:t>, sendo desclassificada a proposta que o ultrapassar no respectivo item.</w:t>
      </w:r>
    </w:p>
    <w:p w:rsidR="00D005DB" w:rsidRDefault="008921F2">
      <w:pPr>
        <w:keepNext/>
        <w:spacing w:before="160" w:after="8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4. DOS ITENS, QUA</w:t>
      </w:r>
      <w:r>
        <w:rPr>
          <w:rFonts w:ascii="Calibri" w:hAnsi="Calibri" w:cs="Calibri"/>
          <w:b/>
          <w:bCs/>
          <w:sz w:val="22"/>
          <w:szCs w:val="22"/>
        </w:rPr>
        <w:t>NTIDADES E VALORES DE REFERÊNCIA</w:t>
      </w:r>
    </w:p>
    <w:tbl>
      <w:tblPr>
        <w:tblW w:w="96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70" w:type="dxa"/>
          <w:bottom w:w="2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500"/>
        <w:gridCol w:w="450"/>
        <w:gridCol w:w="5300"/>
        <w:gridCol w:w="1450"/>
        <w:gridCol w:w="1450"/>
      </w:tblGrid>
      <w:tr w:rsidR="00D005DB">
        <w:trPr>
          <w:cantSplit/>
          <w:tblHeader/>
          <w:jc w:val="center"/>
        </w:trPr>
        <w:tc>
          <w:tcPr>
            <w:tcW w:w="500" w:type="dxa"/>
            <w:shd w:val="clear" w:color="auto" w:fill="BFBFBF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b/>
                <w:bCs/>
                <w:sz w:val="15"/>
                <w:szCs w:val="15"/>
              </w:rPr>
              <w:t>Item</w:t>
            </w:r>
          </w:p>
        </w:tc>
        <w:tc>
          <w:tcPr>
            <w:tcW w:w="500" w:type="dxa"/>
            <w:shd w:val="clear" w:color="auto" w:fill="BFBFBF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b/>
                <w:bCs/>
                <w:sz w:val="15"/>
                <w:szCs w:val="15"/>
              </w:rPr>
              <w:t>Qtd.</w:t>
            </w:r>
          </w:p>
        </w:tc>
        <w:tc>
          <w:tcPr>
            <w:tcW w:w="450" w:type="dxa"/>
            <w:shd w:val="clear" w:color="auto" w:fill="BFBFBF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b/>
                <w:bCs/>
                <w:sz w:val="15"/>
                <w:szCs w:val="15"/>
              </w:rPr>
              <w:t>Un.</w:t>
            </w:r>
          </w:p>
        </w:tc>
        <w:tc>
          <w:tcPr>
            <w:tcW w:w="5300" w:type="dxa"/>
            <w:shd w:val="clear" w:color="auto" w:fill="BFBFBF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b/>
                <w:bCs/>
                <w:sz w:val="15"/>
                <w:szCs w:val="15"/>
              </w:rPr>
              <w:t>Especificação mínima</w:t>
            </w:r>
          </w:p>
        </w:tc>
        <w:tc>
          <w:tcPr>
            <w:tcW w:w="1450" w:type="dxa"/>
            <w:shd w:val="clear" w:color="auto" w:fill="BFBFBF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b/>
                <w:bCs/>
                <w:sz w:val="15"/>
                <w:szCs w:val="15"/>
              </w:rPr>
              <w:t>Valor unit. máximo</w:t>
            </w:r>
          </w:p>
        </w:tc>
        <w:tc>
          <w:tcPr>
            <w:tcW w:w="1450" w:type="dxa"/>
            <w:shd w:val="clear" w:color="auto" w:fill="BFBFBF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b/>
                <w:bCs/>
                <w:sz w:val="15"/>
                <w:szCs w:val="15"/>
              </w:rPr>
              <w:t>Valor total máximo</w:t>
            </w:r>
          </w:p>
        </w:tc>
      </w:tr>
      <w:tr w:rsidR="00D005DB">
        <w:trPr>
          <w:cantSplit/>
          <w:jc w:val="center"/>
        </w:trPr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1</w:t>
            </w:r>
          </w:p>
        </w:tc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3</w:t>
            </w:r>
          </w:p>
        </w:tc>
        <w:tc>
          <w:tcPr>
            <w:tcW w:w="45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un</w:t>
            </w:r>
          </w:p>
        </w:tc>
        <w:tc>
          <w:tcPr>
            <w:tcW w:w="5300" w:type="dxa"/>
            <w:vAlign w:val="center"/>
          </w:tcPr>
          <w:p w:rsidR="00D005DB" w:rsidRDefault="008921F2">
            <w:pPr>
              <w:jc w:val="both"/>
            </w:pPr>
            <w:r>
              <w:rPr>
                <w:rFonts w:ascii="Calibri" w:hAnsi="Calibri" w:cs="Calibri"/>
                <w:sz w:val="15"/>
                <w:szCs w:val="15"/>
              </w:rPr>
              <w:t>Ventilador de parede 50 cm, 6 pás, potência de 126 W, oscilação de 80°, 3 velocidades com modo noturno, controle fixado no suporte, altura ajustável até 1,5 m; tensão 127 V; com selo de conformidade INMETRO.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R$ 387,50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R$ 1.162,50</w:t>
            </w:r>
          </w:p>
        </w:tc>
      </w:tr>
      <w:tr w:rsidR="00D005DB">
        <w:trPr>
          <w:cantSplit/>
          <w:jc w:val="center"/>
        </w:trPr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2</w:t>
            </w:r>
          </w:p>
        </w:tc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1</w:t>
            </w:r>
          </w:p>
        </w:tc>
        <w:tc>
          <w:tcPr>
            <w:tcW w:w="45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un</w:t>
            </w:r>
          </w:p>
        </w:tc>
        <w:tc>
          <w:tcPr>
            <w:tcW w:w="5300" w:type="dxa"/>
            <w:vAlign w:val="center"/>
          </w:tcPr>
          <w:p w:rsidR="00D005DB" w:rsidRDefault="008921F2">
            <w:pPr>
              <w:jc w:val="both"/>
            </w:pPr>
            <w:r>
              <w:rPr>
                <w:rFonts w:ascii="Calibri" w:hAnsi="Calibri" w:cs="Calibri"/>
                <w:sz w:val="15"/>
                <w:szCs w:val="15"/>
              </w:rPr>
              <w:t>Geladeira/Refrigerador Frost Free, 2 portas, capacidade total mínima de 300 litros, cor branca, tensão 127 V, com selo PROCEL/INMETRO. Modelo de referência (art. 41, I, "d", Lei 14.133/2021): Consul CRB36AB, admitido similar ou equivalente/superior.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R$ 2.8</w:t>
            </w:r>
            <w:r>
              <w:rPr>
                <w:rFonts w:ascii="Calibri" w:hAnsi="Calibri" w:cs="Calibri"/>
                <w:sz w:val="15"/>
                <w:szCs w:val="15"/>
              </w:rPr>
              <w:t>99,00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R$ 2.899,00</w:t>
            </w:r>
          </w:p>
        </w:tc>
      </w:tr>
      <w:tr w:rsidR="00D005DB">
        <w:trPr>
          <w:cantSplit/>
          <w:jc w:val="center"/>
        </w:trPr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3</w:t>
            </w:r>
          </w:p>
        </w:tc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1</w:t>
            </w:r>
          </w:p>
        </w:tc>
        <w:tc>
          <w:tcPr>
            <w:tcW w:w="45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un</w:t>
            </w:r>
          </w:p>
        </w:tc>
        <w:tc>
          <w:tcPr>
            <w:tcW w:w="5300" w:type="dxa"/>
            <w:vAlign w:val="center"/>
          </w:tcPr>
          <w:p w:rsidR="00D005DB" w:rsidRDefault="008921F2">
            <w:pPr>
              <w:jc w:val="both"/>
            </w:pPr>
            <w:r>
              <w:rPr>
                <w:rFonts w:ascii="Calibri" w:hAnsi="Calibri" w:cs="Calibri"/>
                <w:sz w:val="15"/>
                <w:szCs w:val="15"/>
              </w:rPr>
              <w:t>Ar-condicionado split hi-wall Dual Inverter, 24.000 BTU/h, quente/frio, 220 V, com Wi-Fi e compatibilidade com Google Assistente e Amazon Alexa, serpentina com proteção anticorrosiva (tipo GoldFin), proteção contra picos de tensão de até 450 V, gabinete ex</w:t>
            </w:r>
            <w:r>
              <w:rPr>
                <w:rFonts w:ascii="Calibri" w:hAnsi="Calibri" w:cs="Calibri"/>
                <w:sz w:val="15"/>
                <w:szCs w:val="15"/>
              </w:rPr>
              <w:t>terno em metal, compressor inverter, selo PROCEL/INMETRO. Modelo de referência: LG Dual Inverter Voice, admitido equivalente/superior. Fornecimento das unidades interna e externa.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R$ 5.656,11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R$ 5.656,11</w:t>
            </w:r>
          </w:p>
        </w:tc>
      </w:tr>
      <w:tr w:rsidR="00D005DB">
        <w:trPr>
          <w:cantSplit/>
          <w:jc w:val="center"/>
        </w:trPr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4</w:t>
            </w:r>
          </w:p>
        </w:tc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1</w:t>
            </w:r>
          </w:p>
        </w:tc>
        <w:tc>
          <w:tcPr>
            <w:tcW w:w="45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un</w:t>
            </w:r>
          </w:p>
        </w:tc>
        <w:tc>
          <w:tcPr>
            <w:tcW w:w="5300" w:type="dxa"/>
            <w:vAlign w:val="center"/>
          </w:tcPr>
          <w:p w:rsidR="00D005DB" w:rsidRDefault="008921F2">
            <w:pPr>
              <w:jc w:val="both"/>
            </w:pPr>
            <w:r>
              <w:rPr>
                <w:rFonts w:ascii="Calibri" w:hAnsi="Calibri" w:cs="Calibri"/>
                <w:sz w:val="15"/>
                <w:szCs w:val="15"/>
              </w:rPr>
              <w:t>Frigobar 124 litros, tecnologia Inverter, bivolt automático (127/220 V), prateleiras de vidro, gaveta organizadora e compartimento para latas, com selo PROCEL/INMETRO. Modelo de referência: Midea MDRD181FGD303, admitido equivalente/superior.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R$ 1.419,50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</w:t>
            </w:r>
            <w:r>
              <w:rPr>
                <w:rFonts w:ascii="Calibri" w:hAnsi="Calibri" w:cs="Calibri"/>
                <w:sz w:val="15"/>
                <w:szCs w:val="15"/>
              </w:rPr>
              <w:t xml:space="preserve"> 1.419,50</w:t>
            </w:r>
          </w:p>
        </w:tc>
      </w:tr>
      <w:tr w:rsidR="00D005DB">
        <w:trPr>
          <w:cantSplit/>
          <w:jc w:val="center"/>
        </w:trPr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5</w:t>
            </w:r>
          </w:p>
        </w:tc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1</w:t>
            </w:r>
          </w:p>
        </w:tc>
        <w:tc>
          <w:tcPr>
            <w:tcW w:w="45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un</w:t>
            </w:r>
          </w:p>
        </w:tc>
        <w:tc>
          <w:tcPr>
            <w:tcW w:w="5300" w:type="dxa"/>
            <w:vAlign w:val="center"/>
          </w:tcPr>
          <w:p w:rsidR="00D005DB" w:rsidRDefault="008921F2">
            <w:pPr>
              <w:jc w:val="both"/>
            </w:pPr>
            <w:r>
              <w:rPr>
                <w:rFonts w:ascii="Calibri" w:hAnsi="Calibri" w:cs="Calibri"/>
                <w:sz w:val="15"/>
                <w:szCs w:val="15"/>
              </w:rPr>
              <w:t xml:space="preserve">Relógio de tempo com alarme para o Plenário da Câmara Municipal: display digital LED com visibilidade adequada ao Plenário, funções de relógio e cronômetro (progressivo/regressivo), alarme sonoro ao término do tempo programado e controle </w:t>
            </w:r>
            <w:r>
              <w:rPr>
                <w:rFonts w:ascii="Calibri" w:hAnsi="Calibri" w:cs="Calibri"/>
                <w:sz w:val="15"/>
                <w:szCs w:val="15"/>
              </w:rPr>
              <w:t>remoto.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R$ 676,14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R$ 676,14</w:t>
            </w:r>
          </w:p>
        </w:tc>
      </w:tr>
      <w:tr w:rsidR="00D005DB">
        <w:trPr>
          <w:cantSplit/>
          <w:jc w:val="center"/>
        </w:trPr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6</w:t>
            </w:r>
          </w:p>
        </w:tc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1</w:t>
            </w:r>
          </w:p>
        </w:tc>
        <w:tc>
          <w:tcPr>
            <w:tcW w:w="45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un</w:t>
            </w:r>
          </w:p>
        </w:tc>
        <w:tc>
          <w:tcPr>
            <w:tcW w:w="5300" w:type="dxa"/>
            <w:vAlign w:val="center"/>
          </w:tcPr>
          <w:p w:rsidR="00D005DB" w:rsidRDefault="008921F2">
            <w:pPr>
              <w:jc w:val="both"/>
            </w:pPr>
            <w:r>
              <w:rPr>
                <w:rFonts w:ascii="Calibri" w:hAnsi="Calibri" w:cs="Calibri"/>
                <w:sz w:val="15"/>
                <w:szCs w:val="15"/>
              </w:rPr>
              <w:t>Smartphone para uso institucional na Contabilidade: processador Snapdragon 7 Gen 2 ou Apple A15 Bionic, ou de desempenho equivalente/superior; 8 GB de memória RAM; 128 GB de armazenamento; leitor biométrico e reconhecimento facial; aparelho novo, desbloque</w:t>
            </w:r>
            <w:r>
              <w:rPr>
                <w:rFonts w:ascii="Calibri" w:hAnsi="Calibri" w:cs="Calibri"/>
                <w:sz w:val="15"/>
                <w:szCs w:val="15"/>
              </w:rPr>
              <w:t>ado, com carregador/cabo e garantia nacional.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R$ 2.439,90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R$ 2.439,90</w:t>
            </w:r>
          </w:p>
        </w:tc>
      </w:tr>
      <w:tr w:rsidR="00D005DB">
        <w:trPr>
          <w:cantSplit/>
          <w:jc w:val="center"/>
        </w:trPr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lastRenderedPageBreak/>
              <w:t>7</w:t>
            </w:r>
          </w:p>
        </w:tc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1</w:t>
            </w:r>
          </w:p>
        </w:tc>
        <w:tc>
          <w:tcPr>
            <w:tcW w:w="45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un</w:t>
            </w:r>
          </w:p>
        </w:tc>
        <w:tc>
          <w:tcPr>
            <w:tcW w:w="5300" w:type="dxa"/>
            <w:vAlign w:val="center"/>
          </w:tcPr>
          <w:p w:rsidR="00D005DB" w:rsidRDefault="008921F2">
            <w:pPr>
              <w:jc w:val="both"/>
            </w:pPr>
            <w:r>
              <w:rPr>
                <w:rFonts w:ascii="Calibri" w:hAnsi="Calibri" w:cs="Calibri"/>
                <w:sz w:val="15"/>
                <w:szCs w:val="15"/>
              </w:rPr>
              <w:t>Computador (torre): processador Intel Core i5-12400F (12ª geração) ou superior; 16 GB DDR4 3.000 MHz; SSD 512 GB; placa de vídeo dedicada GT 210 1 GB DDR3 ou superior (obrigatória, uma vez que o i5-12400F não possui vídeo integrado); fonte 350 W bivolt; Wi</w:t>
            </w:r>
            <w:r>
              <w:rPr>
                <w:rFonts w:ascii="Calibri" w:hAnsi="Calibri" w:cs="Calibri"/>
                <w:sz w:val="15"/>
                <w:szCs w:val="15"/>
              </w:rPr>
              <w:t>ndows 11 Pro 64 bits licenciado.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R$ 3.977,99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R$ 3.977,99</w:t>
            </w:r>
          </w:p>
        </w:tc>
      </w:tr>
      <w:tr w:rsidR="00D005DB">
        <w:trPr>
          <w:cantSplit/>
          <w:jc w:val="center"/>
        </w:trPr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8</w:t>
            </w:r>
          </w:p>
        </w:tc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1</w:t>
            </w:r>
          </w:p>
        </w:tc>
        <w:tc>
          <w:tcPr>
            <w:tcW w:w="45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un</w:t>
            </w:r>
          </w:p>
        </w:tc>
        <w:tc>
          <w:tcPr>
            <w:tcW w:w="5300" w:type="dxa"/>
            <w:vAlign w:val="center"/>
          </w:tcPr>
          <w:p w:rsidR="00D005DB" w:rsidRDefault="008921F2">
            <w:pPr>
              <w:jc w:val="both"/>
            </w:pPr>
            <w:r>
              <w:rPr>
                <w:rFonts w:ascii="Calibri" w:hAnsi="Calibri" w:cs="Calibri"/>
                <w:sz w:val="15"/>
                <w:szCs w:val="15"/>
              </w:rPr>
              <w:t>Notebook: processador Intel Core i5 de 12ª geração ou superior (mínimo 4 núcleos/8 threads, ≥ 2,5 GHz); 16 GB DDR4 ≥ 3.200 MHz (ou DDR5); SSD ≥ 512 GB NVMe; tela LED de 14" a 15,6" Full HD (1</w:t>
            </w:r>
            <w:r>
              <w:rPr>
                <w:rFonts w:ascii="Calibri" w:hAnsi="Calibri" w:cs="Calibri"/>
                <w:sz w:val="15"/>
                <w:szCs w:val="15"/>
              </w:rPr>
              <w:t>920×1080) antirreflexo; vídeo Intel UHD/Iris Xe ou superior; teclado ABNT2 com "Ç"; Wi-Fi 5/6; Bluetooth 5.0; portas USB-A, USB-C e HDMI; Windows 11 Pro licenciado.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R$ 5.749,02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R$ 5.749,02</w:t>
            </w:r>
          </w:p>
        </w:tc>
      </w:tr>
      <w:tr w:rsidR="00D005DB">
        <w:trPr>
          <w:cantSplit/>
          <w:jc w:val="center"/>
        </w:trPr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9</w:t>
            </w:r>
          </w:p>
        </w:tc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2</w:t>
            </w:r>
          </w:p>
        </w:tc>
        <w:tc>
          <w:tcPr>
            <w:tcW w:w="45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un</w:t>
            </w:r>
          </w:p>
        </w:tc>
        <w:tc>
          <w:tcPr>
            <w:tcW w:w="5300" w:type="dxa"/>
            <w:vAlign w:val="center"/>
          </w:tcPr>
          <w:p w:rsidR="00D005DB" w:rsidRDefault="008921F2">
            <w:pPr>
              <w:jc w:val="both"/>
            </w:pPr>
            <w:r>
              <w:rPr>
                <w:rFonts w:ascii="Calibri" w:hAnsi="Calibri" w:cs="Calibri"/>
                <w:sz w:val="15"/>
                <w:szCs w:val="15"/>
              </w:rPr>
              <w:t>Nobreak 1200 VA, entrada bivolt automática, saída 115/117 V, forma de onda PWM. Modelo de referência: SMS UPS Lite 1200 VA RMS (cód. 29205), admitido equivalente/superior.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R$ 1.010,83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R$ 2.021,66</w:t>
            </w:r>
          </w:p>
        </w:tc>
      </w:tr>
      <w:tr w:rsidR="00D005DB">
        <w:trPr>
          <w:cantSplit/>
          <w:jc w:val="center"/>
        </w:trPr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10</w:t>
            </w:r>
          </w:p>
        </w:tc>
        <w:tc>
          <w:tcPr>
            <w:tcW w:w="50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1</w:t>
            </w:r>
          </w:p>
        </w:tc>
        <w:tc>
          <w:tcPr>
            <w:tcW w:w="450" w:type="dxa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sz w:val="15"/>
                <w:szCs w:val="15"/>
              </w:rPr>
              <w:t>un</w:t>
            </w:r>
          </w:p>
        </w:tc>
        <w:tc>
          <w:tcPr>
            <w:tcW w:w="5300" w:type="dxa"/>
            <w:vAlign w:val="center"/>
          </w:tcPr>
          <w:p w:rsidR="00D005DB" w:rsidRDefault="008921F2">
            <w:pPr>
              <w:jc w:val="both"/>
            </w:pPr>
            <w:r>
              <w:rPr>
                <w:rFonts w:ascii="Calibri" w:hAnsi="Calibri" w:cs="Calibri"/>
                <w:sz w:val="15"/>
                <w:szCs w:val="15"/>
              </w:rPr>
              <w:t>Impressora multifuncional laser monocromática (impr</w:t>
            </w:r>
            <w:r>
              <w:rPr>
                <w:rFonts w:ascii="Calibri" w:hAnsi="Calibri" w:cs="Calibri"/>
                <w:sz w:val="15"/>
                <w:szCs w:val="15"/>
              </w:rPr>
              <w:t>essão, cópia, digitalização e fax). Modelo de referência: Kyocera Ecosys MA5500ifx, admitido equivalente com características técnicas iguais ou superiores (velocidade, duplex automático, conectividade em rede e ciclo mensal).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R$ 5.965,00</w:t>
            </w:r>
          </w:p>
        </w:tc>
        <w:tc>
          <w:tcPr>
            <w:tcW w:w="1450" w:type="dxa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sz w:val="15"/>
                <w:szCs w:val="15"/>
              </w:rPr>
              <w:t>R$ 5.965,00</w:t>
            </w:r>
          </w:p>
        </w:tc>
      </w:tr>
      <w:tr w:rsidR="00D005DB">
        <w:trPr>
          <w:cantSplit/>
          <w:jc w:val="center"/>
        </w:trPr>
        <w:tc>
          <w:tcPr>
            <w:tcW w:w="8200" w:type="dxa"/>
            <w:gridSpan w:val="5"/>
            <w:shd w:val="clear" w:color="auto" w:fill="F2F2F2"/>
            <w:vAlign w:val="center"/>
          </w:tcPr>
          <w:p w:rsidR="00D005DB" w:rsidRDefault="008921F2">
            <w:pPr>
              <w:jc w:val="center"/>
            </w:pPr>
            <w:r>
              <w:rPr>
                <w:rFonts w:ascii="Calibri" w:hAnsi="Calibri" w:cs="Calibri"/>
                <w:b/>
                <w:bCs/>
                <w:sz w:val="15"/>
                <w:szCs w:val="15"/>
              </w:rPr>
              <w:t>VALOR</w:t>
            </w:r>
            <w:r>
              <w:rPr>
                <w:rFonts w:ascii="Calibri" w:hAnsi="Calibri" w:cs="Calibri"/>
                <w:b/>
                <w:bCs/>
                <w:sz w:val="15"/>
                <w:szCs w:val="15"/>
              </w:rPr>
              <w:t xml:space="preserve"> TOTAL ESTIMADO</w:t>
            </w:r>
          </w:p>
        </w:tc>
        <w:tc>
          <w:tcPr>
            <w:tcW w:w="1450" w:type="dxa"/>
            <w:shd w:val="clear" w:color="auto" w:fill="F2F2F2"/>
            <w:vAlign w:val="center"/>
          </w:tcPr>
          <w:p w:rsidR="00D005DB" w:rsidRDefault="008921F2">
            <w:pPr>
              <w:jc w:val="right"/>
            </w:pPr>
            <w:r>
              <w:rPr>
                <w:rFonts w:ascii="Calibri" w:hAnsi="Calibri" w:cs="Calibri"/>
                <w:b/>
                <w:bCs/>
                <w:sz w:val="15"/>
                <w:szCs w:val="15"/>
              </w:rPr>
              <w:t>R$ 31.966,82</w:t>
            </w:r>
          </w:p>
        </w:tc>
      </w:tr>
    </w:tbl>
    <w:p w:rsidR="00D005DB" w:rsidRDefault="00D005DB">
      <w:pPr>
        <w:spacing w:after="60" w:line="276" w:lineRule="auto"/>
        <w:jc w:val="both"/>
      </w:pP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4.1. Valor total estimado: </w:t>
      </w:r>
      <w:r>
        <w:rPr>
          <w:rFonts w:ascii="Calibri" w:hAnsi="Calibri" w:cs="Calibri"/>
          <w:b/>
          <w:bCs/>
          <w:sz w:val="22"/>
          <w:szCs w:val="22"/>
        </w:rPr>
        <w:t>R$ 31.966,82 (trinta e um mil novecentos e sessenta e seis reais e oitenta e dois centavos)</w:t>
      </w:r>
      <w:r>
        <w:rPr>
          <w:rFonts w:ascii="Calibri" w:hAnsi="Calibri" w:cs="Calibri"/>
          <w:sz w:val="22"/>
          <w:szCs w:val="22"/>
        </w:rPr>
        <w:t>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4.2. As marcas e modelos indicados servem apenas como referência de qualidade e desempenho (art. 41, I, “d”, da Lei nº 14.133/2021), sendo aceitos produtos equivalentes ou superiores, cuja equivalência será aferida pela ficha técnica do fabricante.</w:t>
      </w:r>
    </w:p>
    <w:p w:rsidR="00D005DB" w:rsidRDefault="008921F2">
      <w:pPr>
        <w:keepNext/>
        <w:spacing w:before="160" w:after="8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5. DO P</w:t>
      </w:r>
      <w:r>
        <w:rPr>
          <w:rFonts w:ascii="Calibri" w:hAnsi="Calibri" w:cs="Calibri"/>
          <w:b/>
          <w:bCs/>
          <w:sz w:val="22"/>
          <w:szCs w:val="22"/>
        </w:rPr>
        <w:t>RAZO E DA FORMA DE ENVIO DAS PROPOSTAS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5.1. As propostas poderão ser enviadas </w:t>
      </w:r>
      <w:r>
        <w:rPr>
          <w:rFonts w:ascii="Calibri" w:hAnsi="Calibri" w:cs="Calibri"/>
          <w:b/>
          <w:bCs/>
          <w:sz w:val="22"/>
          <w:szCs w:val="22"/>
        </w:rPr>
        <w:t>de 16/10/2026 a 21/10/2026, até as 16h</w:t>
      </w:r>
      <w:r>
        <w:rPr>
          <w:rFonts w:ascii="Calibri" w:hAnsi="Calibri" w:cs="Calibri"/>
          <w:sz w:val="22"/>
          <w:szCs w:val="22"/>
        </w:rPr>
        <w:t xml:space="preserve"> (horário de Brasília):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 xml:space="preserve">por e-mail, para </w:t>
      </w:r>
      <w:r>
        <w:rPr>
          <w:rFonts w:ascii="Calibri" w:hAnsi="Calibri" w:cs="Calibri"/>
          <w:b/>
          <w:bCs/>
          <w:sz w:val="22"/>
          <w:szCs w:val="22"/>
        </w:rPr>
        <w:t>pf.camaramunicipal@gmail.com</w:t>
      </w:r>
      <w:r>
        <w:rPr>
          <w:rFonts w:ascii="Calibri" w:hAnsi="Calibri" w:cs="Calibri"/>
          <w:sz w:val="22"/>
          <w:szCs w:val="22"/>
        </w:rPr>
        <w:t>, com o assunto “Proposta – Dispensa nº 03/2026”; ou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presencialment</w:t>
      </w:r>
      <w:r>
        <w:rPr>
          <w:rFonts w:ascii="Calibri" w:hAnsi="Calibri" w:cs="Calibri"/>
          <w:sz w:val="22"/>
          <w:szCs w:val="22"/>
        </w:rPr>
        <w:t>e, em envelope identificado, na sede da Câmara Municipal, situada na Av. 18 de Agosto, 425, Centro, Porto Firme/MG, CEP 36568-000, em dias úteis, das 8h às 16h.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5.2. Não serão consideradas as propostas recebidas após o prazo fixado no item 5.1.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5.3. Os for</w:t>
      </w:r>
      <w:r>
        <w:rPr>
          <w:rFonts w:ascii="Calibri" w:hAnsi="Calibri" w:cs="Calibri"/>
          <w:sz w:val="22"/>
          <w:szCs w:val="22"/>
        </w:rPr>
        <w:t>necedores que participaram da pesquisa de preços que instruiu o processo poderão, no mesmo prazo, ratificar ou atualizar suas propostas.</w:t>
      </w:r>
    </w:p>
    <w:p w:rsidR="00D005DB" w:rsidRDefault="008921F2">
      <w:pPr>
        <w:keepNext/>
        <w:spacing w:before="160" w:after="8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6. DO CONTEÚDO DA PROPOSTA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6.1. A proposta deverá ser apresentada em papel timbrado ou documento identificado da empresa, datada e assinada pelo representante legal (admitida a assinatura digital), contendo: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razão social, CNPJ, endereço, telefone, e-mail e dados bancários;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indic</w:t>
      </w:r>
      <w:r>
        <w:rPr>
          <w:rFonts w:ascii="Calibri" w:hAnsi="Calibri" w:cs="Calibri"/>
          <w:sz w:val="22"/>
          <w:szCs w:val="22"/>
        </w:rPr>
        <w:t xml:space="preserve">ação dos itens cotados, com </w:t>
      </w:r>
      <w:r>
        <w:rPr>
          <w:rFonts w:ascii="Calibri" w:hAnsi="Calibri" w:cs="Calibri"/>
          <w:b/>
          <w:bCs/>
          <w:sz w:val="22"/>
          <w:szCs w:val="22"/>
        </w:rPr>
        <w:t>marca, modelo</w:t>
      </w:r>
      <w:r>
        <w:rPr>
          <w:rFonts w:ascii="Calibri" w:hAnsi="Calibri" w:cs="Calibri"/>
          <w:sz w:val="22"/>
          <w:szCs w:val="22"/>
        </w:rPr>
        <w:t>, preço unitário e total, em reais, com até duas casas decimais;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prazo de validade da proposta não inferior a 60 (sessenta) dias;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prazo de entrega não superior a 20 (vinte) dias corridos, contados do recebimento</w:t>
      </w:r>
      <w:r>
        <w:rPr>
          <w:rFonts w:ascii="Calibri" w:hAnsi="Calibri" w:cs="Calibri"/>
          <w:sz w:val="22"/>
          <w:szCs w:val="22"/>
        </w:rPr>
        <w:t xml:space="preserve"> da ordem de fornecimento;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prazo de garantia não inferior a 12 (doze) meses, ou o do fabricante, se superior;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lastRenderedPageBreak/>
        <w:t>•</w:t>
      </w:r>
      <w:r>
        <w:rPr>
          <w:rFonts w:ascii="Calibri" w:hAnsi="Calibri" w:cs="Calibri"/>
          <w:sz w:val="22"/>
          <w:szCs w:val="22"/>
        </w:rPr>
        <w:tab/>
        <w:t>declaração de que os preços incluem todos os tributos, fretes, embalagens, seguros e demais despesas incidentes.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6.2. A proposta que não indic</w:t>
      </w:r>
      <w:r>
        <w:rPr>
          <w:rFonts w:ascii="Calibri" w:hAnsi="Calibri" w:cs="Calibri"/>
          <w:sz w:val="22"/>
          <w:szCs w:val="22"/>
        </w:rPr>
        <w:t>ar marca e modelo do item ofertado será desclassificada no respectivo item.</w:t>
      </w:r>
    </w:p>
    <w:p w:rsidR="00D005DB" w:rsidRDefault="008921F2">
      <w:pPr>
        <w:keepNext/>
        <w:spacing w:before="160" w:after="8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7. DA HABILITAÇÃO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7.1. O fornecedor selecionado deverá apresentar, no prazo que lhe for assinalado, os seguintes documentos (art. 70, III, da Lei nº 14.133/2021):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ato constitutiv</w:t>
      </w:r>
      <w:r>
        <w:rPr>
          <w:rFonts w:ascii="Calibri" w:hAnsi="Calibri" w:cs="Calibri"/>
          <w:sz w:val="22"/>
          <w:szCs w:val="22"/>
        </w:rPr>
        <w:t>o, contrato social ou certificado de MEI e comprovante de inscrição no CNPJ, com atividade compatível com o objeto;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certidão conjunta de débitos relativos a tributos federais e à Dívida Ativa da União, abrangendo as contribuições previdenciárias (art. 19</w:t>
      </w:r>
      <w:r>
        <w:rPr>
          <w:rFonts w:ascii="Calibri" w:hAnsi="Calibri" w:cs="Calibri"/>
          <w:sz w:val="22"/>
          <w:szCs w:val="22"/>
        </w:rPr>
        <w:t>5, § 3º, da Constituição Federal);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Certificado de Regularidade do FGTS (CRF);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Certidão Negativa de Débitos Trabalhistas (CNDT);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certidões de regularidade com as Fazendas Estadual e Municipal da sede da empresa;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  <w:t>declaração de que não emprega menor d</w:t>
      </w:r>
      <w:r>
        <w:rPr>
          <w:rFonts w:ascii="Calibri" w:hAnsi="Calibri" w:cs="Calibri"/>
          <w:sz w:val="22"/>
          <w:szCs w:val="22"/>
        </w:rPr>
        <w:t>e 18 anos em trabalho noturno, perigoso ou insalubre, nem menor de 16 anos, salvo na condição de aprendiz, a partir de 14 anos (art. 7º, XXXIII, da Constituição Federal).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7.2. Será verificada a inexistência de sanção impeditiva de contratar com a Administr</w:t>
      </w:r>
      <w:r>
        <w:rPr>
          <w:rFonts w:ascii="Calibri" w:hAnsi="Calibri" w:cs="Calibri"/>
          <w:sz w:val="22"/>
          <w:szCs w:val="22"/>
        </w:rPr>
        <w:t>ação no Cadastro Nacional de Empresas Inidôneas e Suspensas (CEIS) e no Cadastro Nacional de Empresas Punidas (CNEP).</w:t>
      </w:r>
    </w:p>
    <w:p w:rsidR="00D005DB" w:rsidRDefault="008921F2">
      <w:pPr>
        <w:keepNext/>
        <w:spacing w:before="160" w:after="8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8. DO JULGAMENTO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8.1. Encerrado o prazo do item 5.1, a Agente de Contratação analisará as propostas recebidas, juntamente com as obtidas n</w:t>
      </w:r>
      <w:r>
        <w:rPr>
          <w:rFonts w:ascii="Calibri" w:hAnsi="Calibri" w:cs="Calibri"/>
          <w:sz w:val="22"/>
          <w:szCs w:val="22"/>
        </w:rPr>
        <w:t>a pesquisa de preços, e selecionará, por item, a proposta de menor preço que atenda às especificações e não ultrapasse o valor máximo aceitável.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8.2. A Administração poderá negociar condições mais vantajosas com o fornecedor mais bem classificado em cada i</w:t>
      </w:r>
      <w:r>
        <w:rPr>
          <w:rFonts w:ascii="Calibri" w:hAnsi="Calibri" w:cs="Calibri"/>
          <w:sz w:val="22"/>
          <w:szCs w:val="22"/>
        </w:rPr>
        <w:t>tem.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8.3. Em caso de empate, serão observados, no que couber, os critérios do art. 60 da Lei nº 14.133/2021 e, persistindo o empate, será realizado sorteio.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8.4. O resultado será divulgado no sítio eletrônico oficial da Câmara e no Quadro de Avisos.</w:t>
      </w:r>
    </w:p>
    <w:p w:rsidR="00D005DB" w:rsidRDefault="008921F2">
      <w:pPr>
        <w:keepNext/>
        <w:spacing w:before="160" w:after="8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9. DAS</w:t>
      </w:r>
      <w:r>
        <w:rPr>
          <w:rFonts w:ascii="Calibri" w:hAnsi="Calibri" w:cs="Calibri"/>
          <w:b/>
          <w:bCs/>
          <w:sz w:val="22"/>
          <w:szCs w:val="22"/>
        </w:rPr>
        <w:t xml:space="preserve"> CONDIÇÕES DE FORNECIMENTO E PAGAMENTO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Entrega:</w:t>
      </w:r>
      <w:r>
        <w:rPr>
          <w:rFonts w:ascii="Calibri" w:hAnsi="Calibri" w:cs="Calibri"/>
          <w:sz w:val="22"/>
          <w:szCs w:val="22"/>
        </w:rPr>
        <w:t xml:space="preserve"> única, em até 20 (vinte) dias corridos do recebimento da ordem de fornecimento, na sede da Câmara, sem ônus de frete;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Recebimento:</w:t>
      </w:r>
      <w:r>
        <w:rPr>
          <w:rFonts w:ascii="Calibri" w:hAnsi="Calibri" w:cs="Calibri"/>
          <w:sz w:val="22"/>
          <w:szCs w:val="22"/>
        </w:rPr>
        <w:t xml:space="preserve"> provisório, no ato da entrega, e definitivo, em até 10 (dez) dias úteis, após a verificação da conformidade (art. 140, II, da Lei nº 14.133/2021);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Garantia:</w:t>
      </w:r>
      <w:r>
        <w:rPr>
          <w:rFonts w:ascii="Calibri" w:hAnsi="Calibri" w:cs="Calibri"/>
          <w:sz w:val="22"/>
          <w:szCs w:val="22"/>
        </w:rPr>
        <w:t xml:space="preserve"> mínimo de 12 (doze) meses, ou a do fabricante, se superior, contada do recebimento definitivo;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t>•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Pagamento:</w:t>
      </w:r>
      <w:r>
        <w:rPr>
          <w:rFonts w:ascii="Calibri" w:hAnsi="Calibri" w:cs="Calibri"/>
          <w:sz w:val="22"/>
          <w:szCs w:val="22"/>
        </w:rPr>
        <w:t xml:space="preserve"> em até 30 (trinta) dias após o recebimento definitivo e o atesto da nota fiscal, mediante crédito em conta da contratada, observada a regularidade fiscal e trabalhista;</w:t>
      </w:r>
    </w:p>
    <w:p w:rsidR="00D005DB" w:rsidRDefault="008921F2">
      <w:pPr>
        <w:spacing w:after="60" w:line="276" w:lineRule="auto"/>
        <w:ind w:left="567" w:hanging="283"/>
        <w:jc w:val="both"/>
      </w:pPr>
      <w:r>
        <w:rPr>
          <w:rFonts w:ascii="Calibri" w:hAnsi="Calibri" w:cs="Calibri"/>
          <w:sz w:val="22"/>
          <w:szCs w:val="22"/>
        </w:rPr>
        <w:lastRenderedPageBreak/>
        <w:t>•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Formalização:</w:t>
      </w:r>
      <w:r>
        <w:rPr>
          <w:rFonts w:ascii="Calibri" w:hAnsi="Calibri" w:cs="Calibri"/>
          <w:sz w:val="22"/>
          <w:szCs w:val="22"/>
        </w:rPr>
        <w:t xml:space="preserve"> por contrato ou instrumento equivalente (art. 95 da Lei nº</w:t>
      </w:r>
      <w:r>
        <w:rPr>
          <w:rFonts w:ascii="Calibri" w:hAnsi="Calibri" w:cs="Calibri"/>
          <w:sz w:val="22"/>
          <w:szCs w:val="22"/>
        </w:rPr>
        <w:t xml:space="preserve"> 14.133/2021), com vigência até 31/12/2026, sem prejuízo da garantia.</w:t>
      </w:r>
    </w:p>
    <w:p w:rsidR="00D005DB" w:rsidRDefault="008921F2">
      <w:pPr>
        <w:keepNext/>
        <w:spacing w:before="160" w:after="8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10. DAS SANÇÕES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10.1. O fornecedor que incorrer nas infrações previstas no art. 155 da Lei nº 14.133/2021 ficará sujeito às sanções do art. 156 da mesma Lei, conforme detalhado no Termo </w:t>
      </w:r>
      <w:r>
        <w:rPr>
          <w:rFonts w:ascii="Calibri" w:hAnsi="Calibri" w:cs="Calibri"/>
          <w:sz w:val="22"/>
          <w:szCs w:val="22"/>
        </w:rPr>
        <w:t>de Referência, assegurados o contraditório e a ampla defesa.</w:t>
      </w:r>
    </w:p>
    <w:p w:rsidR="00D005DB" w:rsidRDefault="008921F2">
      <w:pPr>
        <w:keepNext/>
        <w:spacing w:before="160" w:after="8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11. DAS DISPOSIÇÕES GERAIS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11.1. O Termo de Referência encontra-se disponível no sítio eletrônico oficial da Câmara (</w:t>
      </w:r>
      <w:r w:rsidR="00211B0B">
        <w:rPr>
          <w:rFonts w:ascii="Calibri" w:hAnsi="Calibri" w:cs="Calibri"/>
          <w:sz w:val="22"/>
          <w:szCs w:val="22"/>
        </w:rPr>
        <w:t>https://portofirme.mg.leg.br</w:t>
      </w:r>
      <w:r>
        <w:rPr>
          <w:rFonts w:ascii="Calibri" w:hAnsi="Calibri" w:cs="Calibri"/>
          <w:sz w:val="22"/>
          <w:szCs w:val="22"/>
        </w:rPr>
        <w:t>) e na sede da Câmara Municipal,</w:t>
      </w:r>
      <w:r>
        <w:rPr>
          <w:rFonts w:ascii="Calibri" w:hAnsi="Calibri" w:cs="Calibri"/>
          <w:sz w:val="22"/>
          <w:szCs w:val="22"/>
        </w:rPr>
        <w:t xml:space="preserve"> podendo também ser solicitado pelo e-mail pf.camaramunicipal@gmail.com.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11.2. Esclarecimentos poderão ser solicitados até o dia anterior ao término do prazo de envio das propostas, pelo e-mail acima ou pelo telefone (31) 3893-1436.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11.3. A apresentação de</w:t>
      </w:r>
      <w:r>
        <w:rPr>
          <w:rFonts w:ascii="Calibri" w:hAnsi="Calibri" w:cs="Calibri"/>
          <w:sz w:val="22"/>
          <w:szCs w:val="22"/>
        </w:rPr>
        <w:t xml:space="preserve"> proposta implica a aceitação integral das condições deste Aviso e do Termo de Referência.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sz w:val="22"/>
          <w:szCs w:val="22"/>
        </w:rPr>
        <w:t>11.4. A Câmara Municipal poderá revogar ou anular o procedimento, total ou parcialmente, nos termos da Lei nº 14.133/2021, sem que caiba indenização aos proponentes.</w:t>
      </w:r>
    </w:p>
    <w:p w:rsidR="00D005DB" w:rsidRDefault="008921F2">
      <w:pPr>
        <w:spacing w:before="200" w:after="120" w:line="276" w:lineRule="auto"/>
        <w:jc w:val="right"/>
      </w:pPr>
      <w:r>
        <w:rPr>
          <w:rFonts w:ascii="Calibri" w:hAnsi="Calibri" w:cs="Calibri"/>
          <w:sz w:val="22"/>
          <w:szCs w:val="22"/>
        </w:rPr>
        <w:t>Porto Firme, 16 de outubro de 2026.</w:t>
      </w:r>
    </w:p>
    <w:p w:rsidR="00D005DB" w:rsidRDefault="00D005DB">
      <w:pPr>
        <w:keepNext/>
        <w:spacing w:before="500" w:line="276" w:lineRule="auto"/>
        <w:jc w:val="both"/>
      </w:pPr>
    </w:p>
    <w:p w:rsidR="00D005DB" w:rsidRDefault="008921F2">
      <w:pPr>
        <w:keepNext/>
        <w:spacing w:line="276" w:lineRule="auto"/>
        <w:jc w:val="center"/>
      </w:pPr>
      <w:r>
        <w:rPr>
          <w:rFonts w:ascii="Calibri" w:hAnsi="Calibri" w:cs="Calibri"/>
          <w:i/>
          <w:iCs/>
        </w:rPr>
        <w:t>________________________________________________</w:t>
      </w:r>
    </w:p>
    <w:p w:rsidR="00D005DB" w:rsidRDefault="008921F2">
      <w:pPr>
        <w:keepNext/>
        <w:spacing w:line="276" w:lineRule="auto"/>
        <w:jc w:val="center"/>
      </w:pPr>
      <w:r>
        <w:rPr>
          <w:rFonts w:ascii="Calibri" w:hAnsi="Calibri" w:cs="Calibri"/>
          <w:b/>
          <w:bCs/>
        </w:rPr>
        <w:t>Mariana Silva Valente</w:t>
      </w:r>
    </w:p>
    <w:p w:rsidR="00D005DB" w:rsidRDefault="008921F2">
      <w:pPr>
        <w:keepNext/>
        <w:spacing w:line="276" w:lineRule="auto"/>
        <w:jc w:val="center"/>
      </w:pPr>
      <w:r>
        <w:rPr>
          <w:rFonts w:ascii="Calibri" w:hAnsi="Calibri" w:cs="Calibri"/>
        </w:rPr>
        <w:t>Agente de Contratação</w:t>
      </w:r>
    </w:p>
    <w:p w:rsidR="00D005DB" w:rsidRDefault="008921F2">
      <w:pPr>
        <w:spacing w:after="120" w:line="276" w:lineRule="auto"/>
        <w:jc w:val="center"/>
      </w:pPr>
      <w:r>
        <w:rPr>
          <w:rFonts w:ascii="Calibri" w:hAnsi="Calibri" w:cs="Calibri"/>
        </w:rPr>
        <w:t>Portaria nº 012/2026</w:t>
      </w:r>
    </w:p>
    <w:p w:rsidR="00D005DB" w:rsidRDefault="008921F2">
      <w:r>
        <w:br w:type="page"/>
      </w:r>
    </w:p>
    <w:p w:rsidR="00D005DB" w:rsidRDefault="008921F2">
      <w:pPr>
        <w:keepNext/>
        <w:spacing w:before="60" w:after="200" w:line="276" w:lineRule="auto"/>
        <w:jc w:val="center"/>
      </w:pPr>
      <w:r>
        <w:rPr>
          <w:rFonts w:ascii="Calibri" w:hAnsi="Calibri" w:cs="Calibri"/>
          <w:b/>
          <w:bCs/>
        </w:rPr>
        <w:lastRenderedPageBreak/>
        <w:t>EXTRATO DO AVISO DE DISPENSA DE LICITAÇÃO Nº 03/2026</w:t>
      </w:r>
      <w:r>
        <w:rPr>
          <w:rFonts w:ascii="Calibri" w:hAnsi="Calibri" w:cs="Calibri"/>
          <w:b/>
          <w:bCs/>
        </w:rPr>
        <w:br/>
        <w:t>(para publicação)</w:t>
      </w:r>
    </w:p>
    <w:p w:rsidR="00D005DB" w:rsidRDefault="008921F2">
      <w:pPr>
        <w:spacing w:after="12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>CÂMARA MUNICIPAL DE PORTO FIRME/MG – AVISO DE DISPENSA DE LICITAÇÃO Nº 03/2026 – PROCESSO ADMINISTRATIVO Nº 03/2026.</w:t>
      </w:r>
      <w:r>
        <w:rPr>
          <w:rFonts w:ascii="Calibri" w:hAnsi="Calibri" w:cs="Calibri"/>
          <w:sz w:val="22"/>
          <w:szCs w:val="22"/>
        </w:rPr>
        <w:t xml:space="preserve"> Fundamento: art. 75, II e § 3º, da Lei nº 14.133/2021. </w:t>
      </w:r>
      <w:r>
        <w:rPr>
          <w:rFonts w:ascii="Calibri" w:hAnsi="Calibri" w:cs="Calibri"/>
          <w:b/>
          <w:bCs/>
          <w:sz w:val="22"/>
          <w:szCs w:val="22"/>
        </w:rPr>
        <w:t>Objeto:</w:t>
      </w:r>
      <w:r>
        <w:rPr>
          <w:rFonts w:ascii="Calibri" w:hAnsi="Calibri" w:cs="Calibri"/>
          <w:sz w:val="22"/>
          <w:szCs w:val="22"/>
        </w:rPr>
        <w:t xml:space="preserve"> Aquisição de materiais permanentes (equipamentos eletroeletrônicos, de clima</w:t>
      </w:r>
      <w:r>
        <w:rPr>
          <w:rFonts w:ascii="Calibri" w:hAnsi="Calibri" w:cs="Calibri"/>
          <w:sz w:val="22"/>
          <w:szCs w:val="22"/>
        </w:rPr>
        <w:t xml:space="preserve">tização e de informática) para a Câmara Municipal de Porto Firme/MG, em 10 itens, conforme Termo de Referência. </w:t>
      </w:r>
      <w:r>
        <w:rPr>
          <w:rFonts w:ascii="Calibri" w:hAnsi="Calibri" w:cs="Calibri"/>
          <w:b/>
          <w:bCs/>
          <w:sz w:val="22"/>
          <w:szCs w:val="22"/>
        </w:rPr>
        <w:t>Critério:</w:t>
      </w:r>
      <w:r>
        <w:rPr>
          <w:rFonts w:ascii="Calibri" w:hAnsi="Calibri" w:cs="Calibri"/>
          <w:sz w:val="22"/>
          <w:szCs w:val="22"/>
        </w:rPr>
        <w:t xml:space="preserve"> menor preço por item. </w:t>
      </w:r>
      <w:r>
        <w:rPr>
          <w:rFonts w:ascii="Calibri" w:hAnsi="Calibri" w:cs="Calibri"/>
          <w:b/>
          <w:bCs/>
          <w:sz w:val="22"/>
          <w:szCs w:val="22"/>
        </w:rPr>
        <w:t>Valor total estimado:</w:t>
      </w:r>
      <w:r>
        <w:rPr>
          <w:rFonts w:ascii="Calibri" w:hAnsi="Calibri" w:cs="Calibri"/>
          <w:sz w:val="22"/>
          <w:szCs w:val="22"/>
        </w:rPr>
        <w:t xml:space="preserve"> R$ 31.966,82. A Câmara manifesta interesse em obter propostas adicionais de eventuais inte</w:t>
      </w:r>
      <w:r>
        <w:rPr>
          <w:rFonts w:ascii="Calibri" w:hAnsi="Calibri" w:cs="Calibri"/>
          <w:sz w:val="22"/>
          <w:szCs w:val="22"/>
        </w:rPr>
        <w:t xml:space="preserve">ressados, que poderão ser enviadas </w:t>
      </w:r>
      <w:r>
        <w:rPr>
          <w:rFonts w:ascii="Calibri" w:hAnsi="Calibri" w:cs="Calibri"/>
          <w:b/>
          <w:bCs/>
          <w:sz w:val="22"/>
          <w:szCs w:val="22"/>
        </w:rPr>
        <w:t>de 16/10/2026 a 21/10/2026, até as 16h</w:t>
      </w:r>
      <w:r>
        <w:rPr>
          <w:rFonts w:ascii="Calibri" w:hAnsi="Calibri" w:cs="Calibri"/>
          <w:sz w:val="22"/>
          <w:szCs w:val="22"/>
        </w:rPr>
        <w:t xml:space="preserve">, para o e-mail pf.camaramunicipal@gmail.com ou na sede da Câmara (Av. 18 de Agosto, 425, Centro, Porto Firme/MG). O Aviso completo e o Termo de Referência estão disponíveis em </w:t>
      </w:r>
      <w:r w:rsidR="00211B0B">
        <w:rPr>
          <w:rFonts w:ascii="Calibri" w:hAnsi="Calibri" w:cs="Calibri"/>
          <w:sz w:val="22"/>
          <w:szCs w:val="22"/>
        </w:rPr>
        <w:t>https://portofirme.mg.leg.br</w:t>
      </w:r>
      <w:bookmarkStart w:id="0" w:name="_GoBack"/>
      <w:bookmarkEnd w:id="0"/>
      <w:r>
        <w:rPr>
          <w:rFonts w:ascii="Calibri" w:hAnsi="Calibri" w:cs="Calibri"/>
          <w:sz w:val="22"/>
          <w:szCs w:val="22"/>
        </w:rPr>
        <w:t xml:space="preserve"> e na sede da Câmara. Informações: (31) 3893-1436. Porto Firme, 16 de outubro de 2026. Mariana Silva Valente – Agente de Contratação.</w:t>
      </w:r>
    </w:p>
    <w:sectPr w:rsidR="00D005DB">
      <w:headerReference w:type="default" r:id="rId8"/>
      <w:footerReference w:type="default" r:id="rId9"/>
      <w:pgSz w:w="11906" w:h="16838"/>
      <w:pgMar w:top="1701" w:right="1134" w:bottom="1134" w:left="1276" w:header="426" w:footer="68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1F2" w:rsidRDefault="008921F2">
      <w:r>
        <w:separator/>
      </w:r>
    </w:p>
  </w:endnote>
  <w:endnote w:type="continuationSeparator" w:id="0">
    <w:p w:rsidR="008921F2" w:rsidRDefault="00892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;Ar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cofont_Spranq_eco_Sans;Calibr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atang;바탕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5DB" w:rsidRDefault="008921F2">
    <w:pPr>
      <w:pStyle w:val="Rodap"/>
      <w:ind w:right="360"/>
      <w:jc w:val="center"/>
      <w:rPr>
        <w:rFonts w:ascii="Calibri" w:eastAsia="Batang;바탕" w:hAnsi="Calibri" w:cs="Calibri"/>
        <w:sz w:val="20"/>
        <w:szCs w:val="20"/>
      </w:rPr>
    </w:pPr>
    <w:r>
      <w:rPr>
        <w:rFonts w:ascii="Calibri" w:eastAsia="Batang;바탕" w:hAnsi="Calibri" w:cs="Calibri"/>
        <w:sz w:val="20"/>
        <w:szCs w:val="20"/>
      </w:rPr>
      <w:t>Câmara Municipal de Porto Firme, Av. 18 de Agosto, 425, Centro, CEP: 36568-000</w:t>
    </w:r>
  </w:p>
  <w:p w:rsidR="00D005DB" w:rsidRDefault="008921F2">
    <w:pPr>
      <w:pStyle w:val="Rodap"/>
      <w:jc w:val="center"/>
      <w:rPr>
        <w:rFonts w:ascii="Calibri" w:eastAsia="Batang;바탕" w:hAnsi="Calibri" w:cs="Calibri"/>
        <w:sz w:val="20"/>
        <w:szCs w:val="20"/>
      </w:rPr>
    </w:pPr>
    <w:r>
      <w:rPr>
        <w:rFonts w:ascii="Calibri" w:eastAsia="Batang;바탕" w:hAnsi="Calibri" w:cs="Calibri"/>
        <w:sz w:val="20"/>
        <w:szCs w:val="20"/>
      </w:rPr>
      <w:t>Porto Firme – MG - Tel: (31) 3893 1436 / Fax: (31) 3893 – 1436. E-mail: pf.camaramunicipal@gmail.com</w:t>
    </w:r>
  </w:p>
  <w:p w:rsidR="00D005DB" w:rsidRDefault="00D005DB">
    <w:pPr>
      <w:pStyle w:val="Rodap"/>
      <w:jc w:val="center"/>
      <w:rPr>
        <w:rFonts w:ascii="Calibri" w:eastAsia="Batang;바탕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1F2" w:rsidRDefault="008921F2">
      <w:r>
        <w:separator/>
      </w:r>
    </w:p>
  </w:footnote>
  <w:footnote w:type="continuationSeparator" w:id="0">
    <w:p w:rsidR="008921F2" w:rsidRDefault="00892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28" w:type="dxa"/>
      <w:tblLayout w:type="fixed"/>
      <w:tblLook w:val="0000" w:firstRow="0" w:lastRow="0" w:firstColumn="0" w:lastColumn="0" w:noHBand="0" w:noVBand="0"/>
    </w:tblPr>
    <w:tblGrid>
      <w:gridCol w:w="1191"/>
      <w:gridCol w:w="7937"/>
    </w:tblGrid>
    <w:tr w:rsidR="00D005DB">
      <w:trPr>
        <w:cantSplit/>
      </w:trPr>
      <w:tc>
        <w:tcPr>
          <w:tcW w:w="1191" w:type="dxa"/>
        </w:tcPr>
        <w:p w:rsidR="00D005DB" w:rsidRDefault="008921F2">
          <w:pPr>
            <w:rPr>
              <w:rFonts w:ascii="Arial;Arial" w:hAnsi="Arial;Arial" w:cs="Arial;Arial"/>
              <w:b/>
              <w:bCs/>
              <w:sz w:val="52"/>
              <w:szCs w:val="52"/>
            </w:rPr>
          </w:pPr>
          <w:r w:rsidRPr="008921F2">
            <w:rPr>
              <w:rFonts w:ascii="Arial;Arial" w:hAnsi="Arial;Arial" w:cs="Arial;Arial"/>
              <w:b/>
              <w:noProof/>
              <w:sz w:val="52"/>
              <w:szCs w:val="52"/>
              <w:lang w:eastAsia="pt-B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" o:spid="_x0000_i1025" type="#_x0000_t75" style="width:48.75pt;height:71.25pt;visibility:visible;mso-wrap-style:square">
                <v:imagedata r:id="rId1" o:title="" croptop="-20f" cropbottom="-20f" cropleft="-29f" cropright="-29f"/>
              </v:shape>
            </w:pict>
          </w:r>
        </w:p>
      </w:tc>
      <w:tc>
        <w:tcPr>
          <w:tcW w:w="7937" w:type="dxa"/>
        </w:tcPr>
        <w:p w:rsidR="00D005DB" w:rsidRDefault="008921F2">
          <w:pPr>
            <w:pStyle w:val="Ttulo1"/>
            <w:rPr>
              <w:rFonts w:cs="Times New Roman"/>
            </w:rPr>
          </w:pPr>
          <w:r>
            <w:rPr>
              <w:rFonts w:ascii="Edwardian Script ITC" w:eastAsia="Edwardian Script ITC" w:hAnsi="Edwardian Script ITC" w:cs="Edwardian Script ITC"/>
            </w:rPr>
            <w:t xml:space="preserve">  </w:t>
          </w:r>
        </w:p>
        <w:p w:rsidR="00D005DB" w:rsidRDefault="008921F2">
          <w:pPr>
            <w:pStyle w:val="Ttulo1"/>
          </w:pPr>
          <w:r>
            <w:rPr>
              <w:rFonts w:ascii="Edwardian Script ITC" w:eastAsia="Edwardian Script ITC" w:hAnsi="Edwardian Script ITC" w:cs="Edwardian Script ITC"/>
            </w:rPr>
            <w:t xml:space="preserve"> </w:t>
          </w:r>
          <w:r>
            <w:rPr>
              <w:rFonts w:ascii="Edwardian Script ITC" w:hAnsi="Edwardian Script ITC" w:cs="Times New Roman"/>
            </w:rPr>
            <w:t>Câmara</w:t>
          </w:r>
          <w:r>
            <w:rPr>
              <w:rFonts w:ascii="Edwardian Script ITC" w:hAnsi="Edwardian Script ITC" w:cs="Times New Roman"/>
            </w:rPr>
            <w:t xml:space="preserve"> Municipal de Porto Firme</w:t>
          </w:r>
        </w:p>
        <w:p w:rsidR="00D005DB" w:rsidRDefault="008921F2">
          <w:pPr>
            <w:pStyle w:val="Ttulo2"/>
            <w:jc w:val="center"/>
            <w:rPr>
              <w:sz w:val="36"/>
              <w:szCs w:val="36"/>
            </w:rPr>
          </w:pPr>
          <w:r>
            <w:rPr>
              <w:rFonts w:ascii="Edwardian Script ITC" w:hAnsi="Edwardian Script ITC" w:cs="Edwardian Script ITC"/>
              <w:sz w:val="36"/>
              <w:szCs w:val="36"/>
            </w:rPr>
            <w:t>Estado de Minas Gerais</w:t>
          </w:r>
        </w:p>
      </w:tc>
    </w:tr>
  </w:tbl>
  <w:p w:rsidR="00D005DB" w:rsidRDefault="008921F2">
    <w:pPr>
      <w:pStyle w:val="Cabealho"/>
      <w:rPr>
        <w:lang w:val="en-US" w:eastAsia="en-US"/>
      </w:rPr>
    </w:pPr>
    <w:r>
      <w:rPr>
        <w:noProof/>
      </w:rPr>
      <w:pict>
        <v:shape id="WordPictureWatermark3" o:spid="_x0000_s2049" type="#_x0000_t75" style="position:absolute;margin-left:103.2pt;margin-top:148pt;width:262pt;height:378pt;z-index:-1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margin" o:allowincell="f">
          <v:imagedata r:id="rId2" o:title="" croptop="-4f" cropbottom="-4f" cropleft="-6f" cropright="-6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968F3"/>
    <w:multiLevelType w:val="multilevel"/>
    <w:tmpl w:val="F216E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3C1D7663"/>
    <w:multiLevelType w:val="multilevel"/>
    <w:tmpl w:val="0D221AA6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 w:val="0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0"/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53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3ECD056F"/>
    <w:multiLevelType w:val="multilevel"/>
    <w:tmpl w:val="2872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42351E26"/>
    <w:multiLevelType w:val="multilevel"/>
    <w:tmpl w:val="994A3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49127161"/>
    <w:multiLevelType w:val="multilevel"/>
    <w:tmpl w:val="F2F0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67377CFF"/>
    <w:multiLevelType w:val="multilevel"/>
    <w:tmpl w:val="3C002A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8C1614"/>
    <w:multiLevelType w:val="multilevel"/>
    <w:tmpl w:val="712A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79964AB7"/>
    <w:multiLevelType w:val="multilevel"/>
    <w:tmpl w:val="023E761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  <w:num w:numId="9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05DB"/>
    <w:rsid w:val="00211B0B"/>
    <w:rsid w:val="008921F2"/>
    <w:rsid w:val="00D0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;Arial" w:hAnsi="Arial;Arial" w:cs="Arial;Arial"/>
      <w:b/>
      <w:bCs/>
      <w:sz w:val="40"/>
      <w:szCs w:val="4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 w:cs="Symbol"/>
      <w:sz w:val="20"/>
    </w:rPr>
  </w:style>
  <w:style w:type="character" w:customStyle="1" w:styleId="WW8Num11z1">
    <w:name w:val="WW8Num11z1"/>
    <w:qFormat/>
    <w:rPr>
      <w:rFonts w:ascii="Courier New" w:hAnsi="Courier New" w:cs="Courier New"/>
      <w:sz w:val="20"/>
    </w:rPr>
  </w:style>
  <w:style w:type="character" w:customStyle="1" w:styleId="WW8Num11z2">
    <w:name w:val="WW8Num11z2"/>
    <w:qFormat/>
    <w:rPr>
      <w:rFonts w:ascii="Wingdings" w:hAnsi="Wingdings" w:cs="Wingdings"/>
      <w:sz w:val="20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  <w:sz w:val="20"/>
    </w:rPr>
  </w:style>
  <w:style w:type="character" w:customStyle="1" w:styleId="WW8Num13z1">
    <w:name w:val="WW8Num13z1"/>
    <w:qFormat/>
    <w:rPr>
      <w:rFonts w:ascii="Courier New" w:hAnsi="Courier New" w:cs="Courier New"/>
      <w:sz w:val="20"/>
    </w:rPr>
  </w:style>
  <w:style w:type="character" w:customStyle="1" w:styleId="WW8Num13z2">
    <w:name w:val="WW8Num13z2"/>
    <w:qFormat/>
    <w:rPr>
      <w:rFonts w:ascii="Wingdings" w:hAnsi="Wingdings" w:cs="Wingdings"/>
      <w:sz w:val="20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b/>
      <w:i w:val="0"/>
      <w:strike w:val="0"/>
      <w:dstrike w:val="0"/>
    </w:rPr>
  </w:style>
  <w:style w:type="character" w:customStyle="1" w:styleId="WW8Num23z1">
    <w:name w:val="WW8Num23z1"/>
    <w:qFormat/>
    <w:rPr>
      <w:b w:val="0"/>
      <w:strike w:val="0"/>
      <w:dstrike w:val="0"/>
    </w:rPr>
  </w:style>
  <w:style w:type="character" w:customStyle="1" w:styleId="WW8Num23z2">
    <w:name w:val="WW8Num23z2"/>
    <w:qFormat/>
    <w:rPr>
      <w:i w:val="0"/>
      <w:strike w:val="0"/>
      <w:dstrike w:val="0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6z0">
    <w:name w:val="WW8Num26z0"/>
    <w:qFormat/>
    <w:rPr>
      <w:rFonts w:ascii="Symbol" w:hAnsi="Symbol" w:cs="Symbol"/>
      <w:sz w:val="20"/>
    </w:rPr>
  </w:style>
  <w:style w:type="character" w:customStyle="1" w:styleId="WW8Num26z1">
    <w:name w:val="WW8Num26z1"/>
    <w:qFormat/>
    <w:rPr>
      <w:rFonts w:ascii="Courier New" w:hAnsi="Courier New" w:cs="Courier New"/>
      <w:sz w:val="20"/>
    </w:rPr>
  </w:style>
  <w:style w:type="character" w:customStyle="1" w:styleId="WW8Num26z2">
    <w:name w:val="WW8Num26z2"/>
    <w:qFormat/>
    <w:rPr>
      <w:rFonts w:ascii="Wingdings" w:hAnsi="Wingdings" w:cs="Wingdings"/>
      <w:sz w:val="20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Wingdings" w:hAnsi="Wingdings" w:cs="Wingdings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Ttulo1Char">
    <w:name w:val="Título 1 Char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tulo2Char">
    <w:name w:val="Título 2 Char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abealhoChar">
    <w:name w:val="Cabeçalho Char"/>
    <w:qFormat/>
    <w:rPr>
      <w:sz w:val="24"/>
      <w:szCs w:val="24"/>
    </w:rPr>
  </w:style>
  <w:style w:type="character" w:customStyle="1" w:styleId="RodapChar">
    <w:name w:val="Rodapé Char"/>
    <w:qFormat/>
    <w:rPr>
      <w:sz w:val="24"/>
      <w:szCs w:val="24"/>
    </w:rPr>
  </w:style>
  <w:style w:type="character" w:customStyle="1" w:styleId="TextodebaloChar">
    <w:name w:val="Texto de balão Char"/>
    <w:qFormat/>
    <w:rPr>
      <w:sz w:val="0"/>
      <w:szCs w:val="0"/>
    </w:rPr>
  </w:style>
  <w:style w:type="character" w:customStyle="1" w:styleId="CorpodetextoChar">
    <w:name w:val="Corpo de texto Char"/>
    <w:qFormat/>
    <w:rPr>
      <w:sz w:val="24"/>
      <w:szCs w:val="24"/>
    </w:rPr>
  </w:style>
  <w:style w:type="character" w:customStyle="1" w:styleId="RecuodecorpodetextoChar">
    <w:name w:val="Recuo de corpo de texto Char"/>
    <w:qFormat/>
    <w:rPr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Recuodecorpodetexto2Char">
    <w:name w:val="Recuo de corpo de texto 2 Char"/>
    <w:qFormat/>
    <w:rPr>
      <w:sz w:val="24"/>
      <w:szCs w:val="24"/>
    </w:rPr>
  </w:style>
  <w:style w:type="character" w:customStyle="1" w:styleId="EstiloDeEmail23">
    <w:name w:val="EstiloDeEmail23"/>
    <w:qFormat/>
    <w:rPr>
      <w:rFonts w:ascii="Arial;Arial" w:hAnsi="Arial;Arial" w:cs="Arial;Arial"/>
      <w:color w:val="000080"/>
      <w:sz w:val="20"/>
      <w:szCs w:val="20"/>
    </w:rPr>
  </w:style>
  <w:style w:type="character" w:customStyle="1" w:styleId="FootnoteCharacters">
    <w:name w:val="Footnote Characters"/>
    <w:qFormat/>
  </w:style>
  <w:style w:type="character" w:styleId="Forte">
    <w:name w:val="Strong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SubtitleChar">
    <w:name w:val="Subtitle Char"/>
    <w:qFormat/>
    <w:rPr>
      <w:rFonts w:ascii="Cambria" w:eastAsia="Times New Roman" w:hAnsi="Cambria" w:cs="Times New Roman"/>
      <w:sz w:val="24"/>
      <w:szCs w:val="24"/>
    </w:rPr>
  </w:style>
  <w:style w:type="character" w:customStyle="1" w:styleId="SubttuloChar">
    <w:name w:val="Subtítulo Char"/>
    <w:qFormat/>
    <w:rPr>
      <w:rFonts w:ascii="Cambria" w:hAnsi="Cambria" w:cs="Cambria"/>
      <w:sz w:val="24"/>
      <w:szCs w:val="24"/>
      <w:lang w:val="pt-BR"/>
    </w:rPr>
  </w:style>
  <w:style w:type="character" w:styleId="Nmerodepgina">
    <w:name w:val="page number"/>
  </w:style>
  <w:style w:type="character" w:customStyle="1" w:styleId="Corpodetexto3Char">
    <w:name w:val="Corpo de texto 3 Char"/>
    <w:qFormat/>
    <w:rPr>
      <w:sz w:val="16"/>
      <w:szCs w:val="16"/>
    </w:rPr>
  </w:style>
  <w:style w:type="character" w:customStyle="1" w:styleId="TtuloChar">
    <w:name w:val="Título Char"/>
    <w:qFormat/>
    <w:rPr>
      <w:b/>
      <w:sz w:val="28"/>
      <w:lang w:eastAsia="zh-CN"/>
    </w:rPr>
  </w:style>
  <w:style w:type="character" w:customStyle="1" w:styleId="CabealhodamensagemChar">
    <w:name w:val="Cabeçalho da mensagem Char"/>
    <w:qFormat/>
  </w:style>
  <w:style w:type="character" w:customStyle="1" w:styleId="Nivel2Char">
    <w:name w:val="Nivel 2 Char"/>
    <w:qFormat/>
    <w:rPr>
      <w:rFonts w:ascii="Ecofont_Spranq_eco_Sans;Calibri" w:eastAsia="Arial Unicode MS" w:hAnsi="Ecofont_Spranq_eco_Sans;Calibri" w:cs="Ecofont_Spranq_eco_Sans;Calibri"/>
    </w:rPr>
  </w:style>
  <w:style w:type="character" w:customStyle="1" w:styleId="markedcontent">
    <w:name w:val="markedcontent"/>
    <w:qFormat/>
  </w:style>
  <w:style w:type="character" w:customStyle="1" w:styleId="TextosemFormataoChar">
    <w:name w:val="Texto sem Formatação Char"/>
    <w:qFormat/>
    <w:rPr>
      <w:rFonts w:ascii="Consolas" w:hAnsi="Consolas" w:cs="Consolas"/>
      <w:sz w:val="21"/>
      <w:szCs w:val="21"/>
    </w:rPr>
  </w:style>
  <w:style w:type="character" w:customStyle="1" w:styleId="Ttulodecabedamensagem">
    <w:name w:val="Título de cabeç. da mensagem"/>
    <w:qFormat/>
    <w:rPr>
      <w:rFonts w:ascii="Arial;Arial" w:hAnsi="Arial;Arial" w:cs="Arial;Arial"/>
      <w:b/>
      <w:bCs/>
      <w:spacing w:val="-4"/>
      <w:position w:val="0"/>
      <w:sz w:val="18"/>
      <w:vertAlign w:val="baseline"/>
    </w:rPr>
  </w:style>
  <w:style w:type="character" w:customStyle="1" w:styleId="NormalWebChar">
    <w:name w:val="Normal (Web) Char"/>
    <w:qFormat/>
    <w:rPr>
      <w:sz w:val="24"/>
      <w:szCs w:val="24"/>
    </w:rPr>
  </w:style>
  <w:style w:type="character" w:customStyle="1" w:styleId="citao2Char">
    <w:name w:val="citação 2 Char"/>
    <w:qFormat/>
    <w:rPr>
      <w:rFonts w:ascii="Ecofont_Spranq_eco_Sans;Calibri" w:hAnsi="Ecofont_Spranq_eco_Sans;Calibri" w:cs="Tahoma"/>
      <w:i/>
      <w:iCs/>
      <w:color w:val="000000"/>
      <w:sz w:val="24"/>
      <w:szCs w:val="24"/>
      <w:shd w:val="clear" w:color="auto" w:fill="FFFFCC"/>
    </w:rPr>
  </w:style>
  <w:style w:type="character" w:customStyle="1" w:styleId="info1">
    <w:name w:val="info1"/>
    <w:qFormat/>
    <w:rPr>
      <w:color w:val="000000"/>
      <w:sz w:val="20"/>
      <w:szCs w:val="20"/>
    </w:rPr>
  </w:style>
  <w:style w:type="character" w:customStyle="1" w:styleId="CitaoChar">
    <w:name w:val="Citação Char"/>
    <w:qFormat/>
    <w:rPr>
      <w:rFonts w:ascii="Calibri" w:eastAsia="Calibri" w:hAnsi="Calibri" w:cs="Calibri"/>
      <w:i/>
      <w:iCs/>
      <w:color w:val="000000"/>
      <w:sz w:val="22"/>
      <w:szCs w:val="22"/>
    </w:rPr>
  </w:style>
  <w:style w:type="character" w:customStyle="1" w:styleId="MenoPendente">
    <w:name w:val="Menção Pendente"/>
    <w:qFormat/>
    <w:rPr>
      <w:color w:val="605E5C"/>
      <w:shd w:val="clear" w:color="auto" w:fill="E1DFDD"/>
    </w:rPr>
  </w:style>
  <w:style w:type="character" w:customStyle="1" w:styleId="Corpodetexto2Char">
    <w:name w:val="Corpo de texto 2 Char"/>
    <w:qFormat/>
    <w:rPr>
      <w:sz w:val="24"/>
      <w:szCs w:val="24"/>
    </w:rPr>
  </w:style>
  <w:style w:type="paragraph" w:customStyle="1" w:styleId="Heading">
    <w:name w:val="Heading"/>
    <w:basedOn w:val="Normal"/>
    <w:next w:val="Corpodetexto"/>
    <w:qFormat/>
    <w:pPr>
      <w:jc w:val="center"/>
    </w:pPr>
    <w:rPr>
      <w:b/>
      <w:sz w:val="28"/>
      <w:szCs w:val="20"/>
    </w:rPr>
  </w:style>
  <w:style w:type="paragraph" w:styleId="Corpodetexto">
    <w:name w:val="Body Text"/>
    <w:basedOn w:val="Normal"/>
    <w:pPr>
      <w:jc w:val="both"/>
    </w:pPr>
    <w:rPr>
      <w:sz w:val="28"/>
      <w:szCs w:val="28"/>
    </w:r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4" w:firstLine="708"/>
      <w:jc w:val="both"/>
    </w:pPr>
    <w:rPr>
      <w:sz w:val="28"/>
      <w:szCs w:val="28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Default">
    <w:name w:val="Default"/>
    <w:qFormat/>
    <w:pPr>
      <w:suppressAutoHyphens/>
      <w:autoSpaceDE w:val="0"/>
    </w:pPr>
    <w:rPr>
      <w:rFonts w:ascii="Arial;Arial" w:eastAsia="Times New Roman" w:hAnsi="Arial;Arial" w:cs="Arial;Arial"/>
      <w:color w:val="000000"/>
      <w:sz w:val="24"/>
      <w:szCs w:val="24"/>
      <w:lang w:eastAsia="zh-CN"/>
    </w:rPr>
  </w:style>
  <w:style w:type="paragraph" w:styleId="NormalWeb">
    <w:name w:val="Normal (Web)"/>
    <w:basedOn w:val="Normal"/>
    <w:qFormat/>
    <w:pPr>
      <w:spacing w:before="280" w:after="280"/>
    </w:pPr>
  </w:style>
  <w:style w:type="paragraph" w:styleId="Subttulo">
    <w:name w:val="Subtitle"/>
    <w:basedOn w:val="Normal"/>
    <w:next w:val="Normal"/>
    <w:qFormat/>
    <w:pPr>
      <w:spacing w:after="60"/>
      <w:jc w:val="center"/>
      <w:outlineLvl w:val="1"/>
    </w:pPr>
    <w:rPr>
      <w:rFonts w:ascii="Cambria" w:hAnsi="Cambria" w:cs="Cambria"/>
    </w:rPr>
  </w:style>
  <w:style w:type="paragraph" w:styleId="Corpodetexto3">
    <w:name w:val="Body Text 3"/>
    <w:basedOn w:val="Normal"/>
    <w:qFormat/>
    <w:pPr>
      <w:spacing w:after="120"/>
    </w:pPr>
    <w:rPr>
      <w:sz w:val="16"/>
      <w:szCs w:val="16"/>
    </w:rPr>
  </w:style>
  <w:style w:type="paragraph" w:customStyle="1" w:styleId="textbox">
    <w:name w:val="textbox"/>
    <w:basedOn w:val="Normal"/>
    <w:qFormat/>
    <w:pPr>
      <w:spacing w:before="280" w:after="280"/>
    </w:p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Cabealhodamensagem">
    <w:name w:val="Message Header"/>
    <w:basedOn w:val="Corpodetexto"/>
    <w:qFormat/>
    <w:pPr>
      <w:keepLines/>
      <w:tabs>
        <w:tab w:val="left" w:pos="1560"/>
      </w:tabs>
      <w:spacing w:line="415" w:lineRule="atLeast"/>
      <w:ind w:left="1560" w:right="-360" w:hanging="720"/>
      <w:jc w:val="left"/>
    </w:pPr>
    <w:rPr>
      <w:sz w:val="20"/>
      <w:szCs w:val="20"/>
    </w:rPr>
  </w:style>
  <w:style w:type="paragraph" w:customStyle="1" w:styleId="Cabedamensagemantes">
    <w:name w:val="Cabeç. da mensagem antes"/>
    <w:basedOn w:val="Cabealhodamensagem"/>
    <w:next w:val="Cabealhodamensagem"/>
    <w:qFormat/>
  </w:style>
  <w:style w:type="paragraph" w:customStyle="1" w:styleId="Cabedamensagemdepois">
    <w:name w:val="Cabeç. da mensagem depois"/>
    <w:basedOn w:val="Cabealhodamensagem"/>
    <w:next w:val="Corpodetexto"/>
    <w:qFormat/>
    <w:pPr>
      <w:pBdr>
        <w:bottom w:val="single" w:sz="6" w:space="22" w:color="000000"/>
      </w:pBdr>
      <w:spacing w:after="400"/>
    </w:pPr>
  </w:style>
  <w:style w:type="paragraph" w:customStyle="1" w:styleId="DocumentLabel">
    <w:name w:val="Document Label"/>
    <w:next w:val="Normal"/>
    <w:qFormat/>
    <w:pPr>
      <w:tabs>
        <w:tab w:val="left" w:pos="1800"/>
      </w:tabs>
      <w:suppressAutoHyphens/>
      <w:spacing w:before="100" w:after="540" w:line="600" w:lineRule="atLeast"/>
      <w:ind w:left="840"/>
    </w:pPr>
    <w:rPr>
      <w:rFonts w:ascii="Times New Roman" w:eastAsia="Times New Roman" w:hAnsi="Times New Roman" w:cs="Times New Roman"/>
      <w:spacing w:val="-34"/>
      <w:sz w:val="60"/>
      <w:lang w:val="en-US" w:eastAsia="zh-CN"/>
    </w:rPr>
  </w:style>
  <w:style w:type="paragraph" w:customStyle="1" w:styleId="Nivel2">
    <w:name w:val="Nivel 2"/>
    <w:qFormat/>
    <w:pPr>
      <w:tabs>
        <w:tab w:val="num" w:pos="0"/>
      </w:tabs>
      <w:suppressAutoHyphens/>
      <w:spacing w:before="120" w:after="120" w:line="276" w:lineRule="auto"/>
      <w:ind w:left="502" w:hanging="360"/>
      <w:jc w:val="both"/>
    </w:pPr>
    <w:rPr>
      <w:rFonts w:ascii="Ecofont_Spranq_eco_Sans;Calibri" w:eastAsia="Arial Unicode MS" w:hAnsi="Ecofont_Spranq_eco_Sans;Calibri" w:cs="Ecofont_Spranq_eco_Sans;Calibri"/>
      <w:lang w:eastAsia="zh-CN"/>
    </w:rPr>
  </w:style>
  <w:style w:type="paragraph" w:customStyle="1" w:styleId="Nivel1">
    <w:name w:val="Nivel 1"/>
    <w:basedOn w:val="Nivel2"/>
    <w:next w:val="Nivel2"/>
    <w:qFormat/>
    <w:pPr>
      <w:tabs>
        <w:tab w:val="left" w:pos="360"/>
        <w:tab w:val="left" w:pos="643"/>
      </w:tabs>
      <w:ind w:left="644" w:hanging="432"/>
    </w:pPr>
    <w:rPr>
      <w:rFonts w:cs="Arial;Arial"/>
      <w:b/>
    </w:rPr>
  </w:style>
  <w:style w:type="paragraph" w:customStyle="1" w:styleId="Nivel3">
    <w:name w:val="Nivel 3"/>
    <w:basedOn w:val="Nivel2"/>
    <w:qFormat/>
    <w:pPr>
      <w:tabs>
        <w:tab w:val="left" w:pos="360"/>
        <w:tab w:val="left" w:pos="643"/>
      </w:tabs>
      <w:ind w:left="1922" w:hanging="180"/>
    </w:pPr>
    <w:rPr>
      <w:rFonts w:cs="Arial;Arial"/>
      <w:color w:val="000000"/>
    </w:rPr>
  </w:style>
  <w:style w:type="paragraph" w:customStyle="1" w:styleId="Nivel4">
    <w:name w:val="Nivel 4"/>
    <w:basedOn w:val="Nivel3"/>
    <w:qFormat/>
    <w:pPr>
      <w:ind w:left="2491" w:hanging="360"/>
    </w:pPr>
  </w:style>
  <w:style w:type="paragraph" w:customStyle="1" w:styleId="Nivel5">
    <w:name w:val="Nivel 5"/>
    <w:basedOn w:val="Nivel4"/>
    <w:qFormat/>
    <w:pPr>
      <w:ind w:left="3485"/>
    </w:pPr>
  </w:style>
  <w:style w:type="paragraph" w:styleId="TextosemFormatao">
    <w:name w:val="Plain Text"/>
    <w:basedOn w:val="Normal"/>
    <w:qFormat/>
    <w:rPr>
      <w:rFonts w:ascii="Consolas" w:hAnsi="Consolas" w:cs="Consolas"/>
      <w:sz w:val="21"/>
      <w:szCs w:val="21"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styleId="Citao">
    <w:name w:val="Quote"/>
    <w:basedOn w:val="Normal"/>
    <w:next w:val="Normal"/>
    <w:qFormat/>
    <w:pPr>
      <w:spacing w:after="160" w:line="256" w:lineRule="auto"/>
    </w:pPr>
    <w:rPr>
      <w:rFonts w:ascii="Calibri" w:eastAsia="Calibri" w:hAnsi="Calibri" w:cs="Calibri"/>
      <w:i/>
      <w:iCs/>
      <w:color w:val="000000"/>
      <w:sz w:val="22"/>
      <w:szCs w:val="22"/>
    </w:rPr>
  </w:style>
  <w:style w:type="paragraph" w:customStyle="1" w:styleId="citao2">
    <w:name w:val="citação 2"/>
    <w:basedOn w:val="Citao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 w:after="0" w:line="240" w:lineRule="auto"/>
      <w:jc w:val="both"/>
    </w:pPr>
    <w:rPr>
      <w:rFonts w:ascii="Ecofont_Spranq_eco_Sans;Calibri" w:eastAsia="Times New Roman" w:hAnsi="Ecofont_Spranq_eco_Sans;Calibri" w:cs="Tahoma"/>
      <w:sz w:val="24"/>
      <w:szCs w:val="24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customStyle="1" w:styleId="Recuodecorpodetexto21">
    <w:name w:val="Recuo de corpo de texto 21"/>
    <w:basedOn w:val="Normal"/>
    <w:qFormat/>
    <w:pPr>
      <w:ind w:firstLine="2124"/>
      <w:jc w:val="both"/>
    </w:pPr>
    <w:rPr>
      <w:rFonts w:ascii="Bookman Old Style" w:hAnsi="Bookman Old Style" w:cs="Bookman Old Style"/>
      <w:sz w:val="28"/>
      <w:szCs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5</Pages>
  <Words>1742</Words>
  <Characters>9407</Characters>
  <Application>Microsoft Office Word</Application>
  <DocSecurity>0</DocSecurity>
  <Lines>78</Lines>
  <Paragraphs>22</Paragraphs>
  <ScaleCrop>false</ScaleCrop>
  <Company/>
  <LinksUpToDate>false</LinksUpToDate>
  <CharactersWithSpaces>11127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Câmara</cp:lastModifiedBy>
  <cp:revision>2</cp:revision>
  <dcterms:created xsi:type="dcterms:W3CDTF">2026-10-15T12:09:00Z</dcterms:created>
  <dcterms:modified xsi:type="dcterms:W3CDTF">2026-10-15T12:11:00Z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2014-05-29T10:49:00Z</dcterms:created>
  <dc:creator>Usuario</dc:creator>
  <dc:description/>
  <cp:keywords/>
  <dc:language>en-US</dc:language>
  <cp:lastModifiedBy>User</cp:lastModifiedBy>
  <cp:lastPrinted>2025-02-27T14:17:00Z</cp:lastPrinted>
  <dcterms:modified xsi:type="dcterms:W3CDTF">2026-02-12T08:54:00Z</dcterms:modified>
  <cp:revision>37</cp:revision>
  <dc:subject/>
  <dc:title>Prefeitura Municipal de Porto Firme</dc:title>
</cp:coreProperties>
</file>